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C8017B" w14:paraId="20989433" w14:textId="77777777" w:rsidTr="4F61CA30">
        <w:tc>
          <w:tcPr>
            <w:tcW w:w="9747" w:type="dxa"/>
            <w:gridSpan w:val="2"/>
          </w:tcPr>
          <w:p w14:paraId="660D202F" w14:textId="7CE531F3" w:rsidR="009D3786" w:rsidRPr="00C8017B" w:rsidRDefault="78525D95" w:rsidP="4F61CA30">
            <w:pPr>
              <w:rPr>
                <w:b/>
                <w:bCs/>
                <w:color w:val="000000" w:themeColor="text1"/>
                <w:sz w:val="40"/>
                <w:szCs w:val="40"/>
              </w:rPr>
            </w:pPr>
            <w:r w:rsidRPr="4F61CA30">
              <w:rPr>
                <w:b/>
                <w:bCs/>
                <w:color w:val="000000" w:themeColor="text1"/>
                <w:sz w:val="40"/>
                <w:szCs w:val="40"/>
              </w:rPr>
              <w:t xml:space="preserve"> </w:t>
            </w:r>
            <w:r w:rsidR="5D144638" w:rsidRPr="4F61CA30">
              <w:rPr>
                <w:b/>
                <w:bCs/>
                <w:color w:val="000000" w:themeColor="text1"/>
                <w:sz w:val="40"/>
                <w:szCs w:val="40"/>
              </w:rPr>
              <w:t>LÆRERVEJLEDNING</w:t>
            </w:r>
          </w:p>
        </w:tc>
      </w:tr>
      <w:tr w:rsidR="4F61CA30" w14:paraId="37053EA4" w14:textId="77777777" w:rsidTr="0012291D">
        <w:trPr>
          <w:trHeight w:val="419"/>
        </w:trPr>
        <w:tc>
          <w:tcPr>
            <w:tcW w:w="9747" w:type="dxa"/>
            <w:gridSpan w:val="2"/>
          </w:tcPr>
          <w:p w14:paraId="7F27D92D" w14:textId="78B7939F" w:rsidR="5D144638" w:rsidRDefault="5D144638" w:rsidP="4F61CA30">
            <w:pPr>
              <w:rPr>
                <w:b/>
                <w:bCs/>
                <w:color w:val="000000" w:themeColor="text1"/>
                <w:sz w:val="24"/>
                <w:szCs w:val="24"/>
              </w:rPr>
            </w:pPr>
            <w:r w:rsidRPr="4F61CA30">
              <w:rPr>
                <w:b/>
                <w:bCs/>
                <w:color w:val="000000" w:themeColor="text1"/>
                <w:sz w:val="24"/>
                <w:szCs w:val="24"/>
              </w:rPr>
              <w:t>Titel på undervisningselementet:</w:t>
            </w:r>
          </w:p>
          <w:p w14:paraId="00009EFF" w14:textId="5010284C" w:rsidR="006E0636" w:rsidRPr="00033B6A" w:rsidRDefault="00530682" w:rsidP="006E0636">
            <w:pPr>
              <w:rPr>
                <w:sz w:val="24"/>
                <w:szCs w:val="24"/>
              </w:rPr>
            </w:pPr>
            <w:r>
              <w:rPr>
                <w:sz w:val="24"/>
                <w:szCs w:val="24"/>
              </w:rPr>
              <w:t>F</w:t>
            </w:r>
            <w:r w:rsidR="006E0636" w:rsidRPr="00033B6A">
              <w:rPr>
                <w:sz w:val="24"/>
                <w:szCs w:val="24"/>
              </w:rPr>
              <w:t>arlige stoffer</w:t>
            </w:r>
          </w:p>
          <w:p w14:paraId="34D41C82" w14:textId="7D5D19A8" w:rsidR="5D144638" w:rsidRDefault="5D144638" w:rsidP="4F61CA30">
            <w:pPr>
              <w:rPr>
                <w:color w:val="000000" w:themeColor="text1"/>
                <w:sz w:val="24"/>
                <w:szCs w:val="24"/>
              </w:rPr>
            </w:pPr>
          </w:p>
        </w:tc>
      </w:tr>
      <w:tr w:rsidR="00C8017B" w:rsidRPr="00C8017B" w14:paraId="256CF6AC" w14:textId="77777777" w:rsidTr="4F61CA30">
        <w:trPr>
          <w:trHeight w:val="855"/>
        </w:trPr>
        <w:tc>
          <w:tcPr>
            <w:tcW w:w="5282" w:type="dxa"/>
          </w:tcPr>
          <w:p w14:paraId="2B967CFC" w14:textId="77777777" w:rsidR="006E0636" w:rsidRDefault="003813BF" w:rsidP="00CA678F">
            <w:pPr>
              <w:rPr>
                <w:b/>
                <w:color w:val="000000" w:themeColor="text1"/>
                <w:sz w:val="24"/>
                <w:szCs w:val="24"/>
              </w:rPr>
            </w:pPr>
            <w:r w:rsidRPr="00C8017B">
              <w:rPr>
                <w:b/>
                <w:color w:val="000000" w:themeColor="text1"/>
                <w:sz w:val="24"/>
                <w:szCs w:val="24"/>
              </w:rPr>
              <w:t>T</w:t>
            </w:r>
            <w:r w:rsidR="008106BA" w:rsidRPr="00C8017B">
              <w:rPr>
                <w:b/>
                <w:color w:val="000000" w:themeColor="text1"/>
                <w:sz w:val="24"/>
                <w:szCs w:val="24"/>
              </w:rPr>
              <w:t>ema</w:t>
            </w:r>
            <w:r w:rsidR="00063CD9" w:rsidRPr="00C8017B">
              <w:rPr>
                <w:b/>
                <w:color w:val="000000" w:themeColor="text1"/>
                <w:sz w:val="24"/>
                <w:szCs w:val="24"/>
              </w:rPr>
              <w:t>:</w:t>
            </w:r>
          </w:p>
          <w:p w14:paraId="3246682A" w14:textId="77777777" w:rsidR="006F31E6" w:rsidRDefault="006F31E6" w:rsidP="00CA678F">
            <w:pPr>
              <w:rPr>
                <w:b/>
                <w:color w:val="000000" w:themeColor="text1"/>
                <w:sz w:val="24"/>
                <w:szCs w:val="24"/>
              </w:rPr>
            </w:pPr>
            <w:r>
              <w:rPr>
                <w:b/>
                <w:color w:val="000000" w:themeColor="text1"/>
                <w:sz w:val="24"/>
                <w:szCs w:val="24"/>
              </w:rPr>
              <w:t>Farlige stoffer</w:t>
            </w:r>
          </w:p>
          <w:p w14:paraId="2CF96B44" w14:textId="29FEA596" w:rsidR="0067400D" w:rsidRPr="0012291D" w:rsidRDefault="006F31E6" w:rsidP="00CA678F">
            <w:pPr>
              <w:rPr>
                <w:i/>
                <w:color w:val="000000" w:themeColor="text1"/>
                <w:sz w:val="24"/>
                <w:szCs w:val="24"/>
              </w:rPr>
            </w:pPr>
            <w:r>
              <w:rPr>
                <w:b/>
                <w:color w:val="000000" w:themeColor="text1"/>
                <w:sz w:val="24"/>
                <w:szCs w:val="24"/>
              </w:rPr>
              <w:t>Genbrug</w:t>
            </w:r>
            <w:r w:rsidR="00063CD9" w:rsidRPr="00C8017B">
              <w:rPr>
                <w:b/>
                <w:color w:val="000000" w:themeColor="text1"/>
                <w:sz w:val="24"/>
                <w:szCs w:val="24"/>
              </w:rPr>
              <w:t xml:space="preserve"> </w:t>
            </w:r>
          </w:p>
        </w:tc>
        <w:tc>
          <w:tcPr>
            <w:tcW w:w="4465" w:type="dxa"/>
          </w:tcPr>
          <w:p w14:paraId="37A8A76A" w14:textId="77777777" w:rsidR="0067400D" w:rsidRDefault="00D1246D" w:rsidP="007F5DF9">
            <w:pPr>
              <w:rPr>
                <w:color w:val="000000" w:themeColor="text1"/>
                <w:sz w:val="24"/>
                <w:szCs w:val="24"/>
              </w:rPr>
            </w:pPr>
            <w:r w:rsidRPr="00C8017B">
              <w:rPr>
                <w:b/>
                <w:color w:val="000000" w:themeColor="text1"/>
                <w:sz w:val="24"/>
                <w:szCs w:val="24"/>
              </w:rPr>
              <w:t>Anbefalet v</w:t>
            </w:r>
            <w:r w:rsidR="00726ABF" w:rsidRPr="00C8017B">
              <w:rPr>
                <w:b/>
                <w:color w:val="000000" w:themeColor="text1"/>
                <w:sz w:val="24"/>
                <w:szCs w:val="24"/>
              </w:rPr>
              <w:t>arighed</w:t>
            </w:r>
            <w:r w:rsidRPr="00C8017B">
              <w:rPr>
                <w:b/>
                <w:color w:val="000000" w:themeColor="text1"/>
                <w:sz w:val="24"/>
                <w:szCs w:val="24"/>
              </w:rPr>
              <w:t xml:space="preserve"> i </w:t>
            </w:r>
            <w:r w:rsidR="00956C5E" w:rsidRPr="00C8017B">
              <w:rPr>
                <w:b/>
                <w:color w:val="000000" w:themeColor="text1"/>
                <w:sz w:val="24"/>
                <w:szCs w:val="24"/>
              </w:rPr>
              <w:t>timer</w:t>
            </w:r>
            <w:r w:rsidR="00726ABF" w:rsidRPr="00C8017B">
              <w:rPr>
                <w:color w:val="000000" w:themeColor="text1"/>
                <w:sz w:val="24"/>
                <w:szCs w:val="24"/>
              </w:rPr>
              <w:t>:</w:t>
            </w:r>
            <w:r w:rsidR="00E50C03" w:rsidRPr="00C8017B">
              <w:rPr>
                <w:color w:val="000000" w:themeColor="text1"/>
                <w:sz w:val="24"/>
                <w:szCs w:val="24"/>
              </w:rPr>
              <w:t xml:space="preserve"> </w:t>
            </w:r>
          </w:p>
          <w:p w14:paraId="4BE82F57" w14:textId="6344EF81" w:rsidR="00B01081" w:rsidRPr="00C8017B" w:rsidRDefault="00B01081" w:rsidP="007F5DF9">
            <w:pPr>
              <w:rPr>
                <w:color w:val="000000" w:themeColor="text1"/>
                <w:sz w:val="24"/>
                <w:szCs w:val="24"/>
              </w:rPr>
            </w:pPr>
            <w:r>
              <w:rPr>
                <w:color w:val="000000" w:themeColor="text1"/>
                <w:sz w:val="24"/>
                <w:szCs w:val="24"/>
              </w:rPr>
              <w:t>1 time</w:t>
            </w:r>
            <w:r w:rsidR="002F00E4">
              <w:rPr>
                <w:color w:val="000000" w:themeColor="text1"/>
                <w:sz w:val="24"/>
                <w:szCs w:val="24"/>
              </w:rPr>
              <w:t xml:space="preserve"> </w:t>
            </w:r>
          </w:p>
        </w:tc>
      </w:tr>
      <w:tr w:rsidR="00C8017B" w:rsidRPr="00C8017B" w14:paraId="54E69D43" w14:textId="77777777" w:rsidTr="4F61CA30">
        <w:tc>
          <w:tcPr>
            <w:tcW w:w="9747" w:type="dxa"/>
            <w:gridSpan w:val="2"/>
          </w:tcPr>
          <w:p w14:paraId="2ECE9090" w14:textId="5A0AF0B2" w:rsidR="0067400D" w:rsidRPr="00C8017B" w:rsidRDefault="3571B67E" w:rsidP="3F86ECC0">
            <w:pPr>
              <w:rPr>
                <w:color w:val="000000" w:themeColor="text1"/>
                <w:sz w:val="24"/>
                <w:szCs w:val="24"/>
              </w:rPr>
            </w:pPr>
            <w:r w:rsidRPr="3F86ECC0">
              <w:rPr>
                <w:b/>
                <w:bCs/>
                <w:color w:val="000000" w:themeColor="text1"/>
                <w:sz w:val="24"/>
                <w:szCs w:val="24"/>
              </w:rPr>
              <w:t>Introduktion</w:t>
            </w:r>
            <w:r w:rsidR="00E50C03" w:rsidRPr="3F86ECC0">
              <w:rPr>
                <w:b/>
                <w:bCs/>
                <w:color w:val="000000" w:themeColor="text1"/>
                <w:sz w:val="24"/>
                <w:szCs w:val="24"/>
              </w:rPr>
              <w:t>:</w:t>
            </w:r>
            <w:r w:rsidR="001F357B" w:rsidRPr="3F86ECC0">
              <w:rPr>
                <w:color w:val="000000" w:themeColor="text1"/>
                <w:sz w:val="24"/>
                <w:szCs w:val="24"/>
              </w:rPr>
              <w:t xml:space="preserve"> </w:t>
            </w:r>
          </w:p>
          <w:p w14:paraId="650A129B" w14:textId="77777777" w:rsidR="00763E94" w:rsidRDefault="00763E94" w:rsidP="00763E94">
            <w:pPr>
              <w:rPr>
                <w:sz w:val="24"/>
                <w:szCs w:val="24"/>
              </w:rPr>
            </w:pPr>
            <w:r w:rsidRPr="008901C7">
              <w:rPr>
                <w:sz w:val="24"/>
                <w:szCs w:val="24"/>
              </w:rPr>
              <w:t xml:space="preserve">I materialet præsenteres fagspecifikke risici </w:t>
            </w:r>
            <w:r>
              <w:rPr>
                <w:sz w:val="24"/>
                <w:szCs w:val="24"/>
              </w:rPr>
              <w:t xml:space="preserve">for farlige stoffer </w:t>
            </w:r>
            <w:r w:rsidRPr="008901C7">
              <w:rPr>
                <w:sz w:val="24"/>
                <w:szCs w:val="24"/>
              </w:rPr>
              <w:t xml:space="preserve">ved nedbrydningsarbejde. Lærlingen oplyses om </w:t>
            </w:r>
            <w:r>
              <w:rPr>
                <w:sz w:val="24"/>
                <w:szCs w:val="24"/>
              </w:rPr>
              <w:t>de generelle principper, som sikkerhedsmæssigt bør følges inden nedbrydningsarbejde påbegyndes. De bagvedlæggende årsager til de farlige stoffers placering og funktion i byggeriet beskrives med det formål at give lærlingen en bedre evne til at kunne genkende arbejdsscenarier, som indeholder de farlige stoffer fremadrettet. Konsekvenserne af at arbejde ubeskyttet med de farlige stoffer præsenteres i materialet.</w:t>
            </w:r>
          </w:p>
          <w:p w14:paraId="4E789EAC" w14:textId="77777777" w:rsidR="00763E94" w:rsidRPr="008901C7" w:rsidRDefault="00763E94" w:rsidP="00763E94">
            <w:pPr>
              <w:rPr>
                <w:sz w:val="24"/>
                <w:szCs w:val="24"/>
              </w:rPr>
            </w:pPr>
          </w:p>
          <w:p w14:paraId="046C0893" w14:textId="77777777" w:rsidR="00763E94" w:rsidRPr="008901C7" w:rsidRDefault="00763E94" w:rsidP="00763E94">
            <w:pPr>
              <w:rPr>
                <w:sz w:val="24"/>
                <w:szCs w:val="24"/>
              </w:rPr>
            </w:pPr>
            <w:r>
              <w:rPr>
                <w:sz w:val="24"/>
                <w:szCs w:val="24"/>
              </w:rPr>
              <w:t>Knyttet til den information, der ligger i materialet, er der en case-opgave, hvor l</w:t>
            </w:r>
            <w:r w:rsidRPr="008901C7">
              <w:rPr>
                <w:sz w:val="24"/>
                <w:szCs w:val="24"/>
              </w:rPr>
              <w:t>ærlingen</w:t>
            </w:r>
            <w:r>
              <w:rPr>
                <w:sz w:val="24"/>
                <w:szCs w:val="24"/>
              </w:rPr>
              <w:t xml:space="preserve"> skal</w:t>
            </w:r>
            <w:r w:rsidRPr="008901C7">
              <w:rPr>
                <w:sz w:val="24"/>
                <w:szCs w:val="24"/>
              </w:rPr>
              <w:t xml:space="preserve"> undersøge</w:t>
            </w:r>
            <w:r>
              <w:rPr>
                <w:sz w:val="24"/>
                <w:szCs w:val="24"/>
              </w:rPr>
              <w:t>,</w:t>
            </w:r>
            <w:r w:rsidRPr="008901C7">
              <w:rPr>
                <w:sz w:val="24"/>
                <w:szCs w:val="24"/>
              </w:rPr>
              <w:t xml:space="preserve"> om der har været risici for farlige stoffer i den senest</w:t>
            </w:r>
            <w:r>
              <w:rPr>
                <w:sz w:val="24"/>
                <w:szCs w:val="24"/>
              </w:rPr>
              <w:t>e</w:t>
            </w:r>
            <w:r w:rsidRPr="008901C7">
              <w:rPr>
                <w:sz w:val="24"/>
                <w:szCs w:val="24"/>
              </w:rPr>
              <w:t xml:space="preserve"> renovering eller nedbrydningsopgave, som vedkommende har </w:t>
            </w:r>
            <w:r>
              <w:rPr>
                <w:sz w:val="24"/>
                <w:szCs w:val="24"/>
              </w:rPr>
              <w:t xml:space="preserve">set andre udføre eller selv har </w:t>
            </w:r>
            <w:r w:rsidRPr="008901C7">
              <w:rPr>
                <w:sz w:val="24"/>
                <w:szCs w:val="24"/>
              </w:rPr>
              <w:t xml:space="preserve">udført. </w:t>
            </w:r>
          </w:p>
          <w:p w14:paraId="3F91ABF2" w14:textId="77777777" w:rsidR="00763E94" w:rsidRPr="008901C7" w:rsidRDefault="00763E94" w:rsidP="00763E94">
            <w:pPr>
              <w:rPr>
                <w:sz w:val="24"/>
                <w:szCs w:val="24"/>
              </w:rPr>
            </w:pPr>
          </w:p>
          <w:p w14:paraId="527E33C3" w14:textId="77777777" w:rsidR="00763E94" w:rsidRPr="008901C7" w:rsidRDefault="00763E94" w:rsidP="00763E94">
            <w:pPr>
              <w:rPr>
                <w:sz w:val="24"/>
                <w:szCs w:val="24"/>
              </w:rPr>
            </w:pPr>
            <w:r>
              <w:rPr>
                <w:sz w:val="24"/>
                <w:szCs w:val="24"/>
              </w:rPr>
              <w:t>Materialet har til formål at</w:t>
            </w:r>
            <w:r w:rsidRPr="008901C7">
              <w:rPr>
                <w:sz w:val="24"/>
                <w:szCs w:val="24"/>
              </w:rPr>
              <w:t xml:space="preserve"> give lærlingen en basal forståelse af de fagspecifikke konstruktioner, hvori der kan gemme sig farlige stoffer, og hvilken betydning de farlige stoffer har for arbejdsmiljø.</w:t>
            </w:r>
          </w:p>
          <w:p w14:paraId="4E94994E" w14:textId="77777777" w:rsidR="00763E94" w:rsidRPr="008901C7" w:rsidRDefault="00763E94" w:rsidP="00763E94">
            <w:pPr>
              <w:rPr>
                <w:sz w:val="24"/>
                <w:szCs w:val="24"/>
              </w:rPr>
            </w:pPr>
          </w:p>
          <w:p w14:paraId="35CA1A88" w14:textId="77777777" w:rsidR="00763E94" w:rsidRDefault="00763E94" w:rsidP="00763E94">
            <w:pPr>
              <w:rPr>
                <w:sz w:val="24"/>
                <w:szCs w:val="24"/>
              </w:rPr>
            </w:pPr>
            <w:r w:rsidRPr="008901C7">
              <w:rPr>
                <w:sz w:val="24"/>
                <w:szCs w:val="24"/>
              </w:rPr>
              <w:t>Ved at undersøge nogle af de nedbrydningsopgaver, som lærlingen måske allerede har udført, kan dette give lærlingen en forståelse af, hvilke risici der er ved denne type arbejde. Lærlingen vil i nogle tilfælde opleve, at der ikke er styr på arbejdsmiljø i virksomheden og har dermed mulighed for at dele sin viden med mester og på den måde rette op på proceduren i virksomheden og bidrage til en kulturel ændring.</w:t>
            </w:r>
          </w:p>
          <w:p w14:paraId="25689B0A" w14:textId="77777777" w:rsidR="00763E94" w:rsidRDefault="00763E94" w:rsidP="00763E94">
            <w:pPr>
              <w:rPr>
                <w:sz w:val="24"/>
                <w:szCs w:val="24"/>
              </w:rPr>
            </w:pPr>
          </w:p>
          <w:p w14:paraId="39109AFC" w14:textId="77777777" w:rsidR="00763E94" w:rsidRDefault="00763E94" w:rsidP="00763E94">
            <w:pPr>
              <w:rPr>
                <w:sz w:val="24"/>
                <w:szCs w:val="24"/>
              </w:rPr>
            </w:pPr>
            <w:r w:rsidRPr="34F41D5E">
              <w:rPr>
                <w:sz w:val="24"/>
                <w:szCs w:val="24"/>
              </w:rPr>
              <w:t>En god forståelse for</w:t>
            </w:r>
            <w:r>
              <w:rPr>
                <w:sz w:val="24"/>
                <w:szCs w:val="24"/>
              </w:rPr>
              <w:t>,</w:t>
            </w:r>
            <w:r w:rsidRPr="34F41D5E">
              <w:rPr>
                <w:sz w:val="24"/>
                <w:szCs w:val="24"/>
              </w:rPr>
              <w:t xml:space="preserve"> hvad farlige stoffer er, hvor de er</w:t>
            </w:r>
            <w:r>
              <w:rPr>
                <w:sz w:val="24"/>
                <w:szCs w:val="24"/>
              </w:rPr>
              <w:t>,</w:t>
            </w:r>
            <w:r w:rsidRPr="34F41D5E">
              <w:rPr>
                <w:sz w:val="24"/>
                <w:szCs w:val="24"/>
              </w:rPr>
              <w:t xml:space="preserve"> og hvordan de håndteres, er et kerneelement i genbrug, som ikke kan lade sig gøre, hvis ikke arbejdsmiljøet er i orden.</w:t>
            </w:r>
          </w:p>
          <w:p w14:paraId="4D1692E8" w14:textId="77777777" w:rsidR="00763E94" w:rsidRDefault="00763E94" w:rsidP="00763E94">
            <w:pPr>
              <w:rPr>
                <w:sz w:val="24"/>
                <w:szCs w:val="24"/>
              </w:rPr>
            </w:pPr>
          </w:p>
          <w:p w14:paraId="760EB48E" w14:textId="77777777" w:rsidR="00763E94" w:rsidRDefault="00763E94" w:rsidP="00763E94">
            <w:pPr>
              <w:rPr>
                <w:sz w:val="24"/>
                <w:szCs w:val="24"/>
              </w:rPr>
            </w:pPr>
            <w:r>
              <w:rPr>
                <w:sz w:val="24"/>
                <w:szCs w:val="24"/>
              </w:rPr>
              <w:t>Specifikke fokusområder:</w:t>
            </w:r>
          </w:p>
          <w:p w14:paraId="2D31A978" w14:textId="77777777" w:rsidR="00763E94" w:rsidRDefault="00763E94" w:rsidP="00763E94">
            <w:pPr>
              <w:rPr>
                <w:sz w:val="24"/>
                <w:szCs w:val="24"/>
              </w:rPr>
            </w:pPr>
            <w:r>
              <w:rPr>
                <w:sz w:val="24"/>
                <w:szCs w:val="24"/>
              </w:rPr>
              <w:t>- Skorstene i tegl</w:t>
            </w:r>
          </w:p>
          <w:p w14:paraId="653F1A10" w14:textId="77777777" w:rsidR="00763E94" w:rsidRDefault="00763E94" w:rsidP="00763E94">
            <w:pPr>
              <w:rPr>
                <w:sz w:val="24"/>
                <w:szCs w:val="24"/>
              </w:rPr>
            </w:pPr>
            <w:r>
              <w:rPr>
                <w:sz w:val="24"/>
                <w:szCs w:val="24"/>
              </w:rPr>
              <w:t>- Overfladebehandlinger på teglkonstruktioner</w:t>
            </w:r>
          </w:p>
          <w:p w14:paraId="40D7BDDD" w14:textId="77777777" w:rsidR="00763E94" w:rsidRDefault="00763E94" w:rsidP="00763E94">
            <w:pPr>
              <w:rPr>
                <w:sz w:val="24"/>
                <w:szCs w:val="24"/>
              </w:rPr>
            </w:pPr>
            <w:r>
              <w:rPr>
                <w:sz w:val="24"/>
                <w:szCs w:val="24"/>
              </w:rPr>
              <w:t>- Glaseret tegl</w:t>
            </w:r>
          </w:p>
          <w:p w14:paraId="489DB3DD" w14:textId="6B94D373" w:rsidR="0067400D" w:rsidRPr="00763E94" w:rsidRDefault="00763E94" w:rsidP="00093340">
            <w:pPr>
              <w:rPr>
                <w:sz w:val="24"/>
                <w:szCs w:val="24"/>
              </w:rPr>
            </w:pPr>
            <w:r>
              <w:rPr>
                <w:sz w:val="24"/>
                <w:szCs w:val="24"/>
              </w:rPr>
              <w:t>- Asbest i fliseklæb</w:t>
            </w:r>
          </w:p>
          <w:p w14:paraId="5093E5E0" w14:textId="245472E9" w:rsidR="00763E94" w:rsidRPr="00C8017B" w:rsidRDefault="00763E94" w:rsidP="00093340">
            <w:pPr>
              <w:rPr>
                <w:color w:val="000000" w:themeColor="text1"/>
                <w:sz w:val="24"/>
                <w:szCs w:val="24"/>
              </w:rPr>
            </w:pPr>
          </w:p>
        </w:tc>
      </w:tr>
      <w:tr w:rsidR="3F86ECC0" w14:paraId="6E8A24C0" w14:textId="77777777" w:rsidTr="4F61CA30">
        <w:trPr>
          <w:trHeight w:val="300"/>
        </w:trPr>
        <w:tc>
          <w:tcPr>
            <w:tcW w:w="9747" w:type="dxa"/>
            <w:gridSpan w:val="2"/>
          </w:tcPr>
          <w:p w14:paraId="09B8D2EF" w14:textId="62A2AD17" w:rsidR="3F86ECC0" w:rsidRDefault="25ACFAF2" w:rsidP="4F61CA30">
            <w:pPr>
              <w:rPr>
                <w:b/>
                <w:bCs/>
                <w:color w:val="000000" w:themeColor="text1"/>
                <w:sz w:val="24"/>
                <w:szCs w:val="24"/>
              </w:rPr>
            </w:pPr>
            <w:r w:rsidRPr="4F61CA30">
              <w:rPr>
                <w:b/>
                <w:bCs/>
                <w:color w:val="000000" w:themeColor="text1"/>
                <w:sz w:val="24"/>
                <w:szCs w:val="24"/>
              </w:rPr>
              <w:t>Forberedelse</w:t>
            </w:r>
            <w:r w:rsidR="7EB8813E" w:rsidRPr="4F61CA30">
              <w:rPr>
                <w:b/>
                <w:bCs/>
                <w:color w:val="000000" w:themeColor="text1"/>
                <w:sz w:val="24"/>
                <w:szCs w:val="24"/>
              </w:rPr>
              <w:t xml:space="preserve">: </w:t>
            </w:r>
          </w:p>
          <w:p w14:paraId="3D70C4F0" w14:textId="675163F9" w:rsidR="00AE6FA2" w:rsidRPr="00AE6FA2" w:rsidRDefault="00AE6FA2" w:rsidP="00AE6FA2">
            <w:pPr>
              <w:pStyle w:val="Listeafsnit"/>
              <w:numPr>
                <w:ilvl w:val="0"/>
                <w:numId w:val="28"/>
              </w:numPr>
              <w:rPr>
                <w:color w:val="000000" w:themeColor="text1"/>
                <w:sz w:val="24"/>
                <w:szCs w:val="24"/>
              </w:rPr>
            </w:pPr>
            <w:r w:rsidRPr="00AE6FA2">
              <w:rPr>
                <w:color w:val="000000" w:themeColor="text1"/>
                <w:sz w:val="24"/>
                <w:szCs w:val="24"/>
              </w:rPr>
              <w:t>Læreren skal forberede en case til den lærling, som ikke selv har nogen erfaringer</w:t>
            </w:r>
          </w:p>
          <w:p w14:paraId="25F83E7A" w14:textId="738AC22E" w:rsidR="3F86ECC0" w:rsidRPr="00AE6FA2" w:rsidRDefault="00AE6FA2" w:rsidP="00AE6FA2">
            <w:pPr>
              <w:pStyle w:val="Listeafsnit"/>
              <w:numPr>
                <w:ilvl w:val="0"/>
                <w:numId w:val="28"/>
              </w:numPr>
              <w:rPr>
                <w:color w:val="000000" w:themeColor="text1"/>
                <w:sz w:val="24"/>
                <w:szCs w:val="24"/>
              </w:rPr>
            </w:pPr>
            <w:r w:rsidRPr="00AE6FA2">
              <w:rPr>
                <w:color w:val="000000" w:themeColor="text1"/>
                <w:sz w:val="24"/>
                <w:szCs w:val="24"/>
              </w:rPr>
              <w:t>Læreren skal have kendskab til nationale retningslinjer for håndtering af farligt affald (renover-sikkert.dk i DK-sammenhæng)</w:t>
            </w:r>
          </w:p>
        </w:tc>
      </w:tr>
      <w:tr w:rsidR="00C8017B" w:rsidRPr="00C8017B" w14:paraId="237B54C8" w14:textId="77777777" w:rsidTr="4F61CA30">
        <w:tc>
          <w:tcPr>
            <w:tcW w:w="9747" w:type="dxa"/>
            <w:gridSpan w:val="2"/>
          </w:tcPr>
          <w:p w14:paraId="0CFA7BC8" w14:textId="77777777" w:rsidR="004858D4" w:rsidRPr="00C8017B" w:rsidRDefault="00D461F7" w:rsidP="001F357B">
            <w:pPr>
              <w:rPr>
                <w:color w:val="000000" w:themeColor="text1"/>
                <w:sz w:val="24"/>
                <w:szCs w:val="24"/>
              </w:rPr>
            </w:pPr>
            <w:r w:rsidRPr="00C8017B">
              <w:rPr>
                <w:b/>
                <w:color w:val="000000" w:themeColor="text1"/>
                <w:sz w:val="24"/>
                <w:szCs w:val="24"/>
              </w:rPr>
              <w:t>L</w:t>
            </w:r>
            <w:r w:rsidR="003813BF" w:rsidRPr="00C8017B">
              <w:rPr>
                <w:b/>
                <w:color w:val="000000" w:themeColor="text1"/>
                <w:sz w:val="24"/>
                <w:szCs w:val="24"/>
              </w:rPr>
              <w:t>æringsmål</w:t>
            </w:r>
            <w:r w:rsidR="007F5DF9" w:rsidRPr="00C8017B">
              <w:rPr>
                <w:b/>
                <w:color w:val="000000" w:themeColor="text1"/>
                <w:sz w:val="24"/>
                <w:szCs w:val="24"/>
              </w:rPr>
              <w:t>:</w:t>
            </w:r>
          </w:p>
          <w:p w14:paraId="6D93437E" w14:textId="77777777" w:rsidR="0088697A" w:rsidRPr="008901C7" w:rsidRDefault="0088697A" w:rsidP="0088697A">
            <w:pPr>
              <w:pStyle w:val="Listeafsnit"/>
              <w:numPr>
                <w:ilvl w:val="0"/>
                <w:numId w:val="27"/>
              </w:numPr>
              <w:spacing w:after="200" w:line="276" w:lineRule="auto"/>
              <w:ind w:left="357" w:hanging="357"/>
              <w:rPr>
                <w:sz w:val="24"/>
                <w:szCs w:val="24"/>
              </w:rPr>
            </w:pPr>
            <w:r w:rsidRPr="008901C7">
              <w:rPr>
                <w:sz w:val="24"/>
                <w:szCs w:val="24"/>
              </w:rPr>
              <w:t>Lærlingen kan være opmærksom på, om arbejdsopgaven kan indeholde farlige stoffer (F1)</w:t>
            </w:r>
          </w:p>
          <w:p w14:paraId="45912FFC" w14:textId="77777777" w:rsidR="0088697A" w:rsidRPr="008901C7" w:rsidRDefault="0088697A" w:rsidP="0088697A">
            <w:pPr>
              <w:pStyle w:val="Listeafsnit"/>
              <w:numPr>
                <w:ilvl w:val="0"/>
                <w:numId w:val="27"/>
              </w:numPr>
              <w:spacing w:after="200" w:line="276" w:lineRule="auto"/>
              <w:ind w:left="357" w:hanging="357"/>
              <w:rPr>
                <w:sz w:val="24"/>
                <w:szCs w:val="24"/>
              </w:rPr>
            </w:pPr>
            <w:r w:rsidRPr="008901C7">
              <w:rPr>
                <w:sz w:val="24"/>
                <w:szCs w:val="24"/>
              </w:rPr>
              <w:t xml:space="preserve">Lærlingen kan forklare grundlæggende risici for indhold af farlige stoffer i fagspecifikke konstruktioner (V2) </w:t>
            </w:r>
          </w:p>
          <w:p w14:paraId="6DEAB015" w14:textId="77777777" w:rsidR="0088697A" w:rsidRDefault="0088697A" w:rsidP="0088697A">
            <w:pPr>
              <w:pStyle w:val="Listeafsnit"/>
              <w:numPr>
                <w:ilvl w:val="0"/>
                <w:numId w:val="27"/>
              </w:numPr>
              <w:spacing w:after="200" w:line="276" w:lineRule="auto"/>
              <w:ind w:left="357" w:hanging="357"/>
              <w:rPr>
                <w:sz w:val="24"/>
                <w:szCs w:val="24"/>
              </w:rPr>
            </w:pPr>
            <w:r w:rsidRPr="008901C7">
              <w:rPr>
                <w:sz w:val="24"/>
                <w:szCs w:val="24"/>
              </w:rPr>
              <w:lastRenderedPageBreak/>
              <w:t>Lærlingen kan bidrage til at opdage, om arbejdsopgaven indeholder risiko for omgang med farlige stoffer (H1)</w:t>
            </w:r>
          </w:p>
          <w:p w14:paraId="5F721827" w14:textId="77777777" w:rsidR="0088697A" w:rsidRPr="00D46E6A" w:rsidRDefault="0088697A" w:rsidP="0088697A">
            <w:pPr>
              <w:pStyle w:val="Listeafsnit"/>
              <w:numPr>
                <w:ilvl w:val="0"/>
                <w:numId w:val="27"/>
              </w:numPr>
              <w:spacing w:after="200" w:line="276" w:lineRule="auto"/>
              <w:ind w:left="357" w:hanging="357"/>
              <w:rPr>
                <w:sz w:val="24"/>
                <w:szCs w:val="24"/>
              </w:rPr>
            </w:pPr>
            <w:r w:rsidRPr="00D46E6A">
              <w:rPr>
                <w:sz w:val="24"/>
                <w:szCs w:val="24"/>
              </w:rPr>
              <w:t>Lærlingen kan afgøre, om der bør tilkaldes eksperter til at udtage miljøprøver, inden nedbrydning af specifikke konstruktioner udføres (H2)</w:t>
            </w:r>
          </w:p>
          <w:p w14:paraId="1D5A1243" w14:textId="6255E99F" w:rsidR="00B10766" w:rsidRPr="0088697A" w:rsidRDefault="00B10766" w:rsidP="0088697A">
            <w:pPr>
              <w:rPr>
                <w:color w:val="000000" w:themeColor="text1"/>
                <w:sz w:val="24"/>
                <w:szCs w:val="24"/>
              </w:rPr>
            </w:pPr>
          </w:p>
        </w:tc>
      </w:tr>
      <w:tr w:rsidR="00C8017B" w:rsidRPr="00C8017B" w14:paraId="694E6C3F" w14:textId="77777777" w:rsidTr="4F61CA30">
        <w:tc>
          <w:tcPr>
            <w:tcW w:w="9747" w:type="dxa"/>
            <w:gridSpan w:val="2"/>
          </w:tcPr>
          <w:p w14:paraId="4D703839" w14:textId="123331DA" w:rsidR="004858D4" w:rsidRPr="00C8017B" w:rsidRDefault="004858D4" w:rsidP="4F61CA30">
            <w:pPr>
              <w:rPr>
                <w:b/>
                <w:bCs/>
                <w:color w:val="000000" w:themeColor="text1"/>
                <w:sz w:val="24"/>
                <w:szCs w:val="24"/>
              </w:rPr>
            </w:pPr>
            <w:r w:rsidRPr="4F61CA30">
              <w:rPr>
                <w:b/>
                <w:bCs/>
                <w:color w:val="000000" w:themeColor="text1"/>
                <w:sz w:val="24"/>
                <w:szCs w:val="24"/>
              </w:rPr>
              <w:lastRenderedPageBreak/>
              <w:t>Indhold</w:t>
            </w:r>
            <w:r w:rsidR="24D5F76B" w:rsidRPr="4F61CA30">
              <w:rPr>
                <w:b/>
                <w:bCs/>
                <w:color w:val="000000" w:themeColor="text1"/>
                <w:sz w:val="24"/>
                <w:szCs w:val="24"/>
              </w:rPr>
              <w:t xml:space="preserve"> og formål</w:t>
            </w:r>
            <w:r w:rsidRPr="4F61CA30">
              <w:rPr>
                <w:b/>
                <w:bCs/>
                <w:color w:val="000000" w:themeColor="text1"/>
                <w:sz w:val="24"/>
                <w:szCs w:val="24"/>
              </w:rPr>
              <w:t>:</w:t>
            </w:r>
          </w:p>
          <w:p w14:paraId="46FB267A" w14:textId="08B6767C" w:rsidR="001201E9" w:rsidRPr="009266D8" w:rsidRDefault="001201E9" w:rsidP="001201E9">
            <w:pPr>
              <w:rPr>
                <w:sz w:val="24"/>
                <w:szCs w:val="24"/>
              </w:rPr>
            </w:pPr>
            <w:r>
              <w:rPr>
                <w:sz w:val="24"/>
                <w:szCs w:val="24"/>
              </w:rPr>
              <w:t xml:space="preserve">Det skriftlige materiale </w:t>
            </w:r>
            <w:r w:rsidRPr="34F41D5E">
              <w:rPr>
                <w:sz w:val="24"/>
                <w:szCs w:val="24"/>
              </w:rPr>
              <w:t xml:space="preserve">giver lærlingen </w:t>
            </w:r>
            <w:r>
              <w:rPr>
                <w:sz w:val="24"/>
                <w:szCs w:val="24"/>
              </w:rPr>
              <w:t>k</w:t>
            </w:r>
            <w:r w:rsidRPr="34F41D5E">
              <w:rPr>
                <w:sz w:val="24"/>
                <w:szCs w:val="24"/>
              </w:rPr>
              <w:t>endskab til farlige stoffer i teglkonstruktioner, samt konsekvenser af at arbejde med stofferne uden korrekt planlægning og beskyttelse.</w:t>
            </w:r>
          </w:p>
          <w:p w14:paraId="55D1B660" w14:textId="4FDB9646" w:rsidR="00A13A94" w:rsidRPr="001201E9" w:rsidRDefault="00A13A94" w:rsidP="001201E9">
            <w:pPr>
              <w:rPr>
                <w:color w:val="000000" w:themeColor="text1"/>
                <w:sz w:val="24"/>
                <w:szCs w:val="24"/>
              </w:rPr>
            </w:pPr>
          </w:p>
        </w:tc>
      </w:tr>
      <w:tr w:rsidR="00C8017B" w:rsidRPr="00C8017B" w14:paraId="31C4F84C" w14:textId="77777777" w:rsidTr="4F61CA30">
        <w:tc>
          <w:tcPr>
            <w:tcW w:w="9747" w:type="dxa"/>
            <w:gridSpan w:val="2"/>
          </w:tcPr>
          <w:p w14:paraId="5BFC2C26" w14:textId="77777777" w:rsidR="00E5253B" w:rsidRDefault="5B92B108" w:rsidP="00E5253B">
            <w:pPr>
              <w:rPr>
                <w:b/>
                <w:bCs/>
                <w:color w:val="000000" w:themeColor="text1"/>
                <w:sz w:val="24"/>
                <w:szCs w:val="24"/>
              </w:rPr>
            </w:pPr>
            <w:r w:rsidRPr="00E5253B">
              <w:rPr>
                <w:b/>
                <w:bCs/>
                <w:color w:val="000000" w:themeColor="text1"/>
                <w:sz w:val="24"/>
                <w:szCs w:val="24"/>
              </w:rPr>
              <w:t>Forslag til undervisningsplan</w:t>
            </w:r>
            <w:r w:rsidR="0012291D" w:rsidRPr="00E5253B">
              <w:rPr>
                <w:b/>
                <w:bCs/>
                <w:color w:val="000000" w:themeColor="text1"/>
                <w:sz w:val="24"/>
                <w:szCs w:val="24"/>
              </w:rPr>
              <w:t>:</w:t>
            </w:r>
          </w:p>
          <w:p w14:paraId="36C06138" w14:textId="77777777" w:rsidR="00E5253B" w:rsidRDefault="00E5253B" w:rsidP="00E5253B">
            <w:pPr>
              <w:rPr>
                <w:b/>
                <w:bCs/>
                <w:color w:val="000000" w:themeColor="text1"/>
                <w:sz w:val="24"/>
                <w:szCs w:val="24"/>
              </w:rPr>
            </w:pPr>
          </w:p>
          <w:p w14:paraId="2D6B1C7A" w14:textId="4D13F889" w:rsidR="00E5253B" w:rsidRPr="00E5253B" w:rsidRDefault="00E5253B" w:rsidP="00E5253B">
            <w:pPr>
              <w:pStyle w:val="Listeafsnit"/>
              <w:numPr>
                <w:ilvl w:val="0"/>
                <w:numId w:val="32"/>
              </w:numPr>
              <w:rPr>
                <w:b/>
                <w:bCs/>
                <w:sz w:val="24"/>
                <w:szCs w:val="24"/>
              </w:rPr>
            </w:pPr>
            <w:r w:rsidRPr="00E5253B">
              <w:rPr>
                <w:b/>
                <w:bCs/>
                <w:sz w:val="24"/>
                <w:szCs w:val="24"/>
              </w:rPr>
              <w:t>Oplæg fra læreren (</w:t>
            </w:r>
            <w:r w:rsidR="002E0474">
              <w:rPr>
                <w:b/>
                <w:bCs/>
                <w:sz w:val="24"/>
                <w:szCs w:val="24"/>
              </w:rPr>
              <w:t>10</w:t>
            </w:r>
            <w:r w:rsidRPr="00E5253B">
              <w:rPr>
                <w:b/>
                <w:bCs/>
                <w:sz w:val="24"/>
                <w:szCs w:val="24"/>
              </w:rPr>
              <w:t xml:space="preserve"> min</w:t>
            </w:r>
            <w:r w:rsidR="00F56AAB">
              <w:rPr>
                <w:b/>
                <w:bCs/>
                <w:sz w:val="24"/>
                <w:szCs w:val="24"/>
              </w:rPr>
              <w:t>.</w:t>
            </w:r>
            <w:r w:rsidRPr="00E5253B">
              <w:rPr>
                <w:b/>
                <w:bCs/>
                <w:sz w:val="24"/>
                <w:szCs w:val="24"/>
              </w:rPr>
              <w:t>)</w:t>
            </w:r>
          </w:p>
          <w:p w14:paraId="01304253" w14:textId="77777777" w:rsidR="00E5253B" w:rsidRPr="008F53BB" w:rsidRDefault="00E5253B" w:rsidP="00E5253B">
            <w:pPr>
              <w:ind w:left="720"/>
              <w:rPr>
                <w:sz w:val="24"/>
                <w:szCs w:val="24"/>
              </w:rPr>
            </w:pPr>
            <w:r w:rsidRPr="34F41D5E">
              <w:rPr>
                <w:sz w:val="24"/>
                <w:szCs w:val="24"/>
              </w:rPr>
              <w:t>1. Fagspecifik introduktion til farlige stoffer</w:t>
            </w:r>
          </w:p>
          <w:p w14:paraId="336D2100" w14:textId="77777777" w:rsidR="00E5253B" w:rsidRPr="008F53BB" w:rsidRDefault="00E5253B" w:rsidP="00E5253B">
            <w:pPr>
              <w:ind w:left="720"/>
              <w:rPr>
                <w:sz w:val="24"/>
                <w:szCs w:val="24"/>
              </w:rPr>
            </w:pPr>
            <w:r w:rsidRPr="34F41D5E">
              <w:rPr>
                <w:sz w:val="24"/>
                <w:szCs w:val="24"/>
              </w:rPr>
              <w:t>2. Præsentation af undersiden/skriftligt materiale om farlige stoffer i teglkonstruktioner</w:t>
            </w:r>
          </w:p>
          <w:p w14:paraId="7C97D557" w14:textId="77777777" w:rsidR="00E5253B" w:rsidRPr="008F53BB" w:rsidRDefault="00E5253B" w:rsidP="00E5253B">
            <w:pPr>
              <w:ind w:left="720"/>
              <w:rPr>
                <w:sz w:val="24"/>
                <w:szCs w:val="24"/>
              </w:rPr>
            </w:pPr>
            <w:r w:rsidRPr="34F41D5E">
              <w:rPr>
                <w:sz w:val="24"/>
                <w:szCs w:val="24"/>
              </w:rPr>
              <w:t>3. Præsentation af caseopgave om lærlingenes egne erfaringer med nedbrydninger - læreren beder lærlingene komme med eksempler i plenum</w:t>
            </w:r>
          </w:p>
          <w:p w14:paraId="67E055DD" w14:textId="77777777" w:rsidR="00E5253B" w:rsidRDefault="00E5253B" w:rsidP="00E5253B">
            <w:pPr>
              <w:ind w:left="720"/>
              <w:rPr>
                <w:sz w:val="24"/>
                <w:szCs w:val="24"/>
              </w:rPr>
            </w:pPr>
            <w:r w:rsidRPr="34F41D5E">
              <w:rPr>
                <w:sz w:val="24"/>
                <w:szCs w:val="24"/>
              </w:rPr>
              <w:t>4. Gruppedannelse</w:t>
            </w:r>
            <w:r>
              <w:rPr>
                <w:sz w:val="24"/>
                <w:szCs w:val="24"/>
              </w:rPr>
              <w:t>,</w:t>
            </w:r>
            <w:r w:rsidRPr="34F41D5E">
              <w:rPr>
                <w:sz w:val="24"/>
                <w:szCs w:val="24"/>
              </w:rPr>
              <w:t xml:space="preserve"> hvor læreren sikre</w:t>
            </w:r>
            <w:r>
              <w:rPr>
                <w:sz w:val="24"/>
                <w:szCs w:val="24"/>
              </w:rPr>
              <w:t>r,</w:t>
            </w:r>
            <w:r w:rsidRPr="34F41D5E">
              <w:rPr>
                <w:sz w:val="24"/>
                <w:szCs w:val="24"/>
              </w:rPr>
              <w:t xml:space="preserve"> at alle grupper har min. to cases at arbejde med </w:t>
            </w:r>
          </w:p>
          <w:p w14:paraId="7D692314" w14:textId="77777777" w:rsidR="00E5253B" w:rsidRPr="008F53BB" w:rsidRDefault="00E5253B" w:rsidP="00E5253B">
            <w:pPr>
              <w:ind w:left="720"/>
              <w:rPr>
                <w:sz w:val="24"/>
                <w:szCs w:val="24"/>
              </w:rPr>
            </w:pPr>
          </w:p>
          <w:p w14:paraId="2F0263DE" w14:textId="641DD14C" w:rsidR="00BD4D9C" w:rsidRPr="00BD4D9C" w:rsidRDefault="00E5253B" w:rsidP="00C21991">
            <w:pPr>
              <w:pStyle w:val="Listeafsnit"/>
              <w:numPr>
                <w:ilvl w:val="0"/>
                <w:numId w:val="30"/>
              </w:numPr>
              <w:spacing w:after="200" w:line="276" w:lineRule="auto"/>
              <w:rPr>
                <w:sz w:val="24"/>
                <w:szCs w:val="24"/>
              </w:rPr>
            </w:pPr>
            <w:r w:rsidRPr="00BD4D9C">
              <w:rPr>
                <w:b/>
                <w:bCs/>
                <w:sz w:val="24"/>
                <w:szCs w:val="24"/>
              </w:rPr>
              <w:t>Gruppearbejde (</w:t>
            </w:r>
            <w:r w:rsidR="00F56AAB">
              <w:rPr>
                <w:b/>
                <w:bCs/>
                <w:sz w:val="24"/>
                <w:szCs w:val="24"/>
              </w:rPr>
              <w:t>30</w:t>
            </w:r>
            <w:r w:rsidRPr="00BD4D9C">
              <w:rPr>
                <w:b/>
                <w:bCs/>
                <w:sz w:val="24"/>
                <w:szCs w:val="24"/>
              </w:rPr>
              <w:t xml:space="preserve"> min</w:t>
            </w:r>
            <w:r w:rsidR="00F56AAB">
              <w:rPr>
                <w:b/>
                <w:bCs/>
                <w:sz w:val="24"/>
                <w:szCs w:val="24"/>
              </w:rPr>
              <w:t>.</w:t>
            </w:r>
            <w:r w:rsidRPr="00BD4D9C">
              <w:rPr>
                <w:b/>
                <w:bCs/>
                <w:sz w:val="24"/>
                <w:szCs w:val="24"/>
              </w:rPr>
              <w:t>)</w:t>
            </w:r>
          </w:p>
          <w:p w14:paraId="67EFCF29" w14:textId="1F6A8F71" w:rsidR="00E5253B" w:rsidRPr="008F53BB" w:rsidRDefault="00E5253B" w:rsidP="00BD4D9C">
            <w:pPr>
              <w:pStyle w:val="Listeafsnit"/>
              <w:spacing w:after="200" w:line="276" w:lineRule="auto"/>
              <w:rPr>
                <w:sz w:val="24"/>
                <w:szCs w:val="24"/>
              </w:rPr>
            </w:pPr>
            <w:r w:rsidRPr="00BD4D9C">
              <w:rPr>
                <w:sz w:val="24"/>
                <w:szCs w:val="24"/>
              </w:rPr>
              <w:t>1. Grupperne gennemgår det skriftlige materiale</w:t>
            </w:r>
            <w:r w:rsidR="00BD4D9C">
              <w:rPr>
                <w:sz w:val="24"/>
                <w:szCs w:val="24"/>
              </w:rPr>
              <w:br/>
            </w:r>
            <w:r w:rsidRPr="34F41D5E">
              <w:rPr>
                <w:sz w:val="24"/>
                <w:szCs w:val="24"/>
              </w:rPr>
              <w:t>2. Grupperne bliver enige om</w:t>
            </w:r>
            <w:r>
              <w:rPr>
                <w:sz w:val="24"/>
                <w:szCs w:val="24"/>
              </w:rPr>
              <w:t>,</w:t>
            </w:r>
            <w:r w:rsidRPr="34F41D5E">
              <w:rPr>
                <w:sz w:val="24"/>
                <w:szCs w:val="24"/>
              </w:rPr>
              <w:t xml:space="preserve"> hvilke cases de vil arbejde med. 2-3 cases.</w:t>
            </w:r>
            <w:r w:rsidR="00BD4D9C">
              <w:rPr>
                <w:sz w:val="24"/>
                <w:szCs w:val="24"/>
              </w:rPr>
              <w:br/>
            </w:r>
            <w:r w:rsidRPr="34F41D5E">
              <w:rPr>
                <w:sz w:val="24"/>
                <w:szCs w:val="24"/>
              </w:rPr>
              <w:t xml:space="preserve">3. Grupperne gennemgår hver case og laver en liste over potentielle risici og sikre måder at håndterer disse risici på </w:t>
            </w:r>
          </w:p>
          <w:p w14:paraId="66E85744" w14:textId="77777777" w:rsidR="00BD4D9C" w:rsidRDefault="00BD4D9C" w:rsidP="00BD4D9C">
            <w:pPr>
              <w:pStyle w:val="Listeafsnit"/>
              <w:spacing w:after="200" w:line="276" w:lineRule="auto"/>
              <w:rPr>
                <w:b/>
                <w:bCs/>
                <w:sz w:val="24"/>
                <w:szCs w:val="24"/>
              </w:rPr>
            </w:pPr>
          </w:p>
          <w:p w14:paraId="38BBE575" w14:textId="65801A92" w:rsidR="00E5253B" w:rsidRPr="00BD4D9C" w:rsidRDefault="00E5253B" w:rsidP="00BD4D9C">
            <w:pPr>
              <w:pStyle w:val="Listeafsnit"/>
              <w:numPr>
                <w:ilvl w:val="0"/>
                <w:numId w:val="29"/>
              </w:numPr>
              <w:spacing w:after="200" w:line="276" w:lineRule="auto"/>
              <w:rPr>
                <w:b/>
                <w:bCs/>
                <w:sz w:val="24"/>
                <w:szCs w:val="24"/>
              </w:rPr>
            </w:pPr>
            <w:r w:rsidRPr="34F41D5E">
              <w:rPr>
                <w:b/>
                <w:bCs/>
                <w:sz w:val="24"/>
                <w:szCs w:val="24"/>
              </w:rPr>
              <w:t>Opsamling i plenum (</w:t>
            </w:r>
            <w:r w:rsidR="002E0474">
              <w:rPr>
                <w:b/>
                <w:bCs/>
                <w:sz w:val="24"/>
                <w:szCs w:val="24"/>
              </w:rPr>
              <w:t>20</w:t>
            </w:r>
            <w:r w:rsidRPr="34F41D5E">
              <w:rPr>
                <w:b/>
                <w:bCs/>
                <w:sz w:val="24"/>
                <w:szCs w:val="24"/>
              </w:rPr>
              <w:t xml:space="preserve"> </w:t>
            </w:r>
            <w:r w:rsidR="002E0474">
              <w:rPr>
                <w:b/>
                <w:bCs/>
                <w:sz w:val="24"/>
                <w:szCs w:val="24"/>
              </w:rPr>
              <w:t>m</w:t>
            </w:r>
            <w:r w:rsidRPr="34F41D5E">
              <w:rPr>
                <w:b/>
                <w:bCs/>
                <w:sz w:val="24"/>
                <w:szCs w:val="24"/>
              </w:rPr>
              <w:t>in</w:t>
            </w:r>
            <w:r w:rsidR="00F56AAB">
              <w:rPr>
                <w:b/>
                <w:bCs/>
                <w:sz w:val="24"/>
                <w:szCs w:val="24"/>
              </w:rPr>
              <w:t>.</w:t>
            </w:r>
            <w:r w:rsidRPr="34F41D5E">
              <w:rPr>
                <w:b/>
                <w:bCs/>
                <w:sz w:val="24"/>
                <w:szCs w:val="24"/>
              </w:rPr>
              <w:t>)</w:t>
            </w:r>
            <w:r w:rsidR="00BD4D9C">
              <w:rPr>
                <w:b/>
                <w:bCs/>
                <w:sz w:val="24"/>
                <w:szCs w:val="24"/>
              </w:rPr>
              <w:br/>
            </w:r>
            <w:r w:rsidRPr="00BD4D9C">
              <w:rPr>
                <w:sz w:val="24"/>
                <w:szCs w:val="24"/>
              </w:rPr>
              <w:t xml:space="preserve">1. Hver gruppe præsenterer den mest relevante case med risici og håndtering - læreren skriver dem på tavlen </w:t>
            </w:r>
            <w:r w:rsidR="00BD4D9C">
              <w:rPr>
                <w:sz w:val="24"/>
                <w:szCs w:val="24"/>
              </w:rPr>
              <w:br/>
            </w:r>
            <w:r w:rsidRPr="00BD4D9C">
              <w:rPr>
                <w:sz w:val="24"/>
                <w:szCs w:val="24"/>
              </w:rPr>
              <w:t>2. Ud fra gruppernes erfaringer samler læreren op på farlige stoffer ved at udfylde eventuelle huller i lærlingenes viden. Læreren lægger vægt på vigtigheden at korrekt håndtering og lærlingenes rettigheder i forbindelse med sikkerhed på arbejdspladsen.</w:t>
            </w:r>
          </w:p>
          <w:p w14:paraId="2525AF5B" w14:textId="1B5E8A94" w:rsidR="00957A33" w:rsidRPr="0012291D" w:rsidRDefault="00957A33" w:rsidP="0012291D">
            <w:pPr>
              <w:rPr>
                <w:b/>
                <w:bCs/>
                <w:color w:val="000000" w:themeColor="text1"/>
                <w:sz w:val="24"/>
                <w:szCs w:val="24"/>
                <w:u w:val="single"/>
              </w:rPr>
            </w:pPr>
          </w:p>
        </w:tc>
      </w:tr>
      <w:tr w:rsidR="00C8017B" w:rsidRPr="00C8017B" w14:paraId="5227C891" w14:textId="77777777" w:rsidTr="4F61CA30">
        <w:tc>
          <w:tcPr>
            <w:tcW w:w="9747" w:type="dxa"/>
            <w:gridSpan w:val="2"/>
          </w:tcPr>
          <w:p w14:paraId="6DB19ED8" w14:textId="38C39AC9" w:rsidR="0067400D" w:rsidRPr="00C8017B" w:rsidRDefault="00825C71" w:rsidP="00093340">
            <w:pPr>
              <w:rPr>
                <w:color w:val="000000" w:themeColor="text1"/>
                <w:sz w:val="24"/>
                <w:szCs w:val="24"/>
              </w:rPr>
            </w:pPr>
            <w:r w:rsidRPr="3F86ECC0">
              <w:rPr>
                <w:b/>
                <w:bCs/>
                <w:color w:val="000000" w:themeColor="text1"/>
                <w:sz w:val="24"/>
                <w:szCs w:val="24"/>
              </w:rPr>
              <w:t>Differentiering</w:t>
            </w:r>
            <w:r w:rsidR="0067400D" w:rsidRPr="3F86ECC0">
              <w:rPr>
                <w:b/>
                <w:bCs/>
                <w:color w:val="000000" w:themeColor="text1"/>
                <w:sz w:val="24"/>
                <w:szCs w:val="24"/>
              </w:rPr>
              <w:t>:</w:t>
            </w:r>
            <w:r w:rsidR="0012291D">
              <w:rPr>
                <w:b/>
                <w:bCs/>
                <w:color w:val="000000" w:themeColor="text1"/>
                <w:sz w:val="24"/>
                <w:szCs w:val="24"/>
              </w:rPr>
              <w:br/>
            </w:r>
            <w:r w:rsidR="00FB5E40" w:rsidRPr="34F41D5E">
              <w:rPr>
                <w:sz w:val="24"/>
                <w:szCs w:val="24"/>
              </w:rPr>
              <w:t>Der kan differentieres på gruppestørrelse og antal af cases</w:t>
            </w:r>
            <w:r w:rsidR="00FB5E40">
              <w:rPr>
                <w:sz w:val="24"/>
                <w:szCs w:val="24"/>
              </w:rPr>
              <w:t>,</w:t>
            </w:r>
            <w:r w:rsidR="00FB5E40" w:rsidRPr="34F41D5E">
              <w:rPr>
                <w:sz w:val="24"/>
                <w:szCs w:val="24"/>
              </w:rPr>
              <w:t xml:space="preserve"> grupperne skal arbejde med. Dette bør i høj grad gøres ud af mængden af erfarede relevante cases i klassen. Derudover kan gruppernes præsentation af cases også gøres til en fremlæggelse, hvis der ønskes yderligere fokus på emnet.</w:t>
            </w:r>
          </w:p>
        </w:tc>
      </w:tr>
      <w:tr w:rsidR="00C8017B" w:rsidRPr="00C8017B" w14:paraId="18B8EF02" w14:textId="77777777" w:rsidTr="4F61CA30">
        <w:tc>
          <w:tcPr>
            <w:tcW w:w="9747" w:type="dxa"/>
            <w:gridSpan w:val="2"/>
          </w:tcPr>
          <w:p w14:paraId="2147922A" w14:textId="77777777" w:rsidR="004F1058" w:rsidRDefault="43AAF839" w:rsidP="3F86ECC0">
            <w:pPr>
              <w:rPr>
                <w:color w:val="000000" w:themeColor="text1"/>
                <w:sz w:val="24"/>
                <w:szCs w:val="24"/>
              </w:rPr>
            </w:pPr>
            <w:r w:rsidRPr="3F86ECC0">
              <w:rPr>
                <w:b/>
                <w:bCs/>
                <w:color w:val="000000" w:themeColor="text1"/>
                <w:sz w:val="24"/>
                <w:szCs w:val="24"/>
              </w:rPr>
              <w:t xml:space="preserve">Feedback og </w:t>
            </w:r>
            <w:r w:rsidR="00A879E8" w:rsidRPr="3F86ECC0">
              <w:rPr>
                <w:b/>
                <w:bCs/>
                <w:color w:val="000000" w:themeColor="text1"/>
                <w:sz w:val="24"/>
                <w:szCs w:val="24"/>
              </w:rPr>
              <w:t>Evaluering</w:t>
            </w:r>
            <w:r w:rsidR="00D90CDB">
              <w:rPr>
                <w:b/>
                <w:bCs/>
                <w:color w:val="000000" w:themeColor="text1"/>
                <w:sz w:val="24"/>
                <w:szCs w:val="24"/>
              </w:rPr>
              <w:t>:</w:t>
            </w:r>
            <w:r w:rsidR="004F1058">
              <w:br/>
            </w:r>
          </w:p>
          <w:p w14:paraId="792843AB" w14:textId="22A0AC5E" w:rsidR="004E1225" w:rsidRPr="00C8017B" w:rsidRDefault="002353C1" w:rsidP="3F86ECC0">
            <w:pPr>
              <w:rPr>
                <w:color w:val="000000" w:themeColor="text1"/>
                <w:sz w:val="24"/>
                <w:szCs w:val="24"/>
              </w:rPr>
            </w:pPr>
            <w:r>
              <w:rPr>
                <w:color w:val="000000" w:themeColor="text1"/>
                <w:sz w:val="24"/>
                <w:szCs w:val="24"/>
              </w:rPr>
              <w:t>Læren giver feedback både under og efter lærlingen arbejder med</w:t>
            </w:r>
            <w:r w:rsidR="004E1225">
              <w:rPr>
                <w:color w:val="000000" w:themeColor="text1"/>
                <w:sz w:val="24"/>
                <w:szCs w:val="24"/>
              </w:rPr>
              <w:t xml:space="preserve"> undervisningsmaterialet.</w:t>
            </w: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345FF7">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D182" w14:textId="77777777" w:rsidR="00345FF7" w:rsidRDefault="00345FF7" w:rsidP="00433C37">
      <w:pPr>
        <w:spacing w:after="0" w:line="240" w:lineRule="auto"/>
      </w:pPr>
      <w:r>
        <w:separator/>
      </w:r>
    </w:p>
  </w:endnote>
  <w:endnote w:type="continuationSeparator" w:id="0">
    <w:p w14:paraId="529CEBF7" w14:textId="77777777" w:rsidR="00345FF7" w:rsidRDefault="00345FF7" w:rsidP="00433C37">
      <w:pPr>
        <w:spacing w:after="0" w:line="240" w:lineRule="auto"/>
      </w:pPr>
      <w:r>
        <w:continuationSeparator/>
      </w:r>
    </w:p>
  </w:endnote>
  <w:endnote w:type="continuationNotice" w:id="1">
    <w:p w14:paraId="705F6C16" w14:textId="77777777" w:rsidR="00345FF7" w:rsidRDefault="00345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ACD8" w14:textId="77777777" w:rsidR="00345FF7" w:rsidRDefault="00345FF7" w:rsidP="00433C37">
      <w:pPr>
        <w:spacing w:after="0" w:line="240" w:lineRule="auto"/>
      </w:pPr>
      <w:r>
        <w:separator/>
      </w:r>
    </w:p>
  </w:footnote>
  <w:footnote w:type="continuationSeparator" w:id="0">
    <w:p w14:paraId="591D1F0D" w14:textId="77777777" w:rsidR="00345FF7" w:rsidRDefault="00345FF7" w:rsidP="00433C37">
      <w:pPr>
        <w:spacing w:after="0" w:line="240" w:lineRule="auto"/>
      </w:pPr>
      <w:r>
        <w:continuationSeparator/>
      </w:r>
    </w:p>
  </w:footnote>
  <w:footnote w:type="continuationNotice" w:id="1">
    <w:p w14:paraId="3A1ABE07" w14:textId="77777777" w:rsidR="00345FF7" w:rsidRDefault="00345F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A357" w14:textId="7427DAD5" w:rsidR="007F5DEA" w:rsidRPr="00433C37" w:rsidRDefault="007F5DEA">
    <w:pPr>
      <w:pStyle w:val="Sidehoved"/>
      <w:rPr>
        <w:sz w:val="52"/>
        <w:szCs w:val="52"/>
      </w:rPr>
    </w:pPr>
    <w:r>
      <w:rPr>
        <w:sz w:val="52"/>
        <w:szCs w:val="52"/>
      </w:rPr>
      <w:t xml:space="preserve">Beskrivelse af </w:t>
    </w:r>
    <w:r w:rsidR="00A879E8">
      <w:rPr>
        <w:sz w:val="52"/>
        <w:szCs w:val="52"/>
      </w:rPr>
      <w:t>undervisning</w:t>
    </w:r>
    <w:r w:rsidR="003779F1">
      <w:rPr>
        <w:sz w:val="52"/>
        <w:szCs w:val="52"/>
      </w:rPr>
      <w:t>selement</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E3AD"/>
    <w:multiLevelType w:val="hybridMultilevel"/>
    <w:tmpl w:val="EFAE6D9A"/>
    <w:lvl w:ilvl="0" w:tplc="1132F204">
      <w:start w:val="1"/>
      <w:numFmt w:val="bullet"/>
      <w:lvlText w:val=""/>
      <w:lvlJc w:val="left"/>
      <w:pPr>
        <w:ind w:left="720" w:hanging="360"/>
      </w:pPr>
      <w:rPr>
        <w:rFonts w:ascii="Symbol" w:hAnsi="Symbol" w:hint="default"/>
      </w:rPr>
    </w:lvl>
    <w:lvl w:ilvl="1" w:tplc="2F0EA060">
      <w:start w:val="1"/>
      <w:numFmt w:val="bullet"/>
      <w:lvlText w:val="o"/>
      <w:lvlJc w:val="left"/>
      <w:pPr>
        <w:ind w:left="1440" w:hanging="360"/>
      </w:pPr>
      <w:rPr>
        <w:rFonts w:ascii="Courier New" w:hAnsi="Courier New" w:hint="default"/>
      </w:rPr>
    </w:lvl>
    <w:lvl w:ilvl="2" w:tplc="F218249E">
      <w:start w:val="1"/>
      <w:numFmt w:val="bullet"/>
      <w:lvlText w:val=""/>
      <w:lvlJc w:val="left"/>
      <w:pPr>
        <w:ind w:left="2160" w:hanging="360"/>
      </w:pPr>
      <w:rPr>
        <w:rFonts w:ascii="Wingdings" w:hAnsi="Wingdings" w:hint="default"/>
      </w:rPr>
    </w:lvl>
    <w:lvl w:ilvl="3" w:tplc="48E63572">
      <w:start w:val="1"/>
      <w:numFmt w:val="bullet"/>
      <w:lvlText w:val=""/>
      <w:lvlJc w:val="left"/>
      <w:pPr>
        <w:ind w:left="2880" w:hanging="360"/>
      </w:pPr>
      <w:rPr>
        <w:rFonts w:ascii="Symbol" w:hAnsi="Symbol" w:hint="default"/>
      </w:rPr>
    </w:lvl>
    <w:lvl w:ilvl="4" w:tplc="B7B06482">
      <w:start w:val="1"/>
      <w:numFmt w:val="bullet"/>
      <w:lvlText w:val="o"/>
      <w:lvlJc w:val="left"/>
      <w:pPr>
        <w:ind w:left="3600" w:hanging="360"/>
      </w:pPr>
      <w:rPr>
        <w:rFonts w:ascii="Courier New" w:hAnsi="Courier New" w:hint="default"/>
      </w:rPr>
    </w:lvl>
    <w:lvl w:ilvl="5" w:tplc="493879B4">
      <w:start w:val="1"/>
      <w:numFmt w:val="bullet"/>
      <w:lvlText w:val=""/>
      <w:lvlJc w:val="left"/>
      <w:pPr>
        <w:ind w:left="4320" w:hanging="360"/>
      </w:pPr>
      <w:rPr>
        <w:rFonts w:ascii="Wingdings" w:hAnsi="Wingdings" w:hint="default"/>
      </w:rPr>
    </w:lvl>
    <w:lvl w:ilvl="6" w:tplc="926E0FBE">
      <w:start w:val="1"/>
      <w:numFmt w:val="bullet"/>
      <w:lvlText w:val=""/>
      <w:lvlJc w:val="left"/>
      <w:pPr>
        <w:ind w:left="5040" w:hanging="360"/>
      </w:pPr>
      <w:rPr>
        <w:rFonts w:ascii="Symbol" w:hAnsi="Symbol" w:hint="default"/>
      </w:rPr>
    </w:lvl>
    <w:lvl w:ilvl="7" w:tplc="70B41F80">
      <w:start w:val="1"/>
      <w:numFmt w:val="bullet"/>
      <w:lvlText w:val="o"/>
      <w:lvlJc w:val="left"/>
      <w:pPr>
        <w:ind w:left="5760" w:hanging="360"/>
      </w:pPr>
      <w:rPr>
        <w:rFonts w:ascii="Courier New" w:hAnsi="Courier New" w:hint="default"/>
      </w:rPr>
    </w:lvl>
    <w:lvl w:ilvl="8" w:tplc="C360AC12">
      <w:start w:val="1"/>
      <w:numFmt w:val="bullet"/>
      <w:lvlText w:val=""/>
      <w:lvlJc w:val="left"/>
      <w:pPr>
        <w:ind w:left="6480" w:hanging="360"/>
      </w:pPr>
      <w:rPr>
        <w:rFonts w:ascii="Wingdings" w:hAnsi="Wingdings" w:hint="default"/>
      </w:rPr>
    </w:lvl>
  </w:abstractNum>
  <w:abstractNum w:abstractNumId="1" w15:restartNumberingAfterBreak="0">
    <w:nsid w:val="0D3A0CB5"/>
    <w:multiLevelType w:val="hybridMultilevel"/>
    <w:tmpl w:val="EC866C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791D1B"/>
    <w:multiLevelType w:val="hybridMultilevel"/>
    <w:tmpl w:val="1CA09B06"/>
    <w:lvl w:ilvl="0" w:tplc="A8EA8C7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7"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3"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B1F5242"/>
    <w:multiLevelType w:val="hybridMultilevel"/>
    <w:tmpl w:val="22C2BEA0"/>
    <w:lvl w:ilvl="0" w:tplc="8D40462E">
      <w:start w:val="1"/>
      <w:numFmt w:val="bullet"/>
      <w:lvlText w:val=""/>
      <w:lvlJc w:val="left"/>
      <w:pPr>
        <w:ind w:left="720" w:hanging="360"/>
      </w:pPr>
      <w:rPr>
        <w:rFonts w:ascii="Symbol" w:hAnsi="Symbol" w:hint="default"/>
      </w:rPr>
    </w:lvl>
    <w:lvl w:ilvl="1" w:tplc="AA945D38">
      <w:start w:val="1"/>
      <w:numFmt w:val="bullet"/>
      <w:lvlText w:val="o"/>
      <w:lvlJc w:val="left"/>
      <w:pPr>
        <w:ind w:left="1440" w:hanging="360"/>
      </w:pPr>
      <w:rPr>
        <w:rFonts w:ascii="Courier New" w:hAnsi="Courier New" w:hint="default"/>
      </w:rPr>
    </w:lvl>
    <w:lvl w:ilvl="2" w:tplc="891A3414">
      <w:start w:val="1"/>
      <w:numFmt w:val="bullet"/>
      <w:lvlText w:val=""/>
      <w:lvlJc w:val="left"/>
      <w:pPr>
        <w:ind w:left="2160" w:hanging="360"/>
      </w:pPr>
      <w:rPr>
        <w:rFonts w:ascii="Wingdings" w:hAnsi="Wingdings" w:hint="default"/>
      </w:rPr>
    </w:lvl>
    <w:lvl w:ilvl="3" w:tplc="6AC80C02">
      <w:start w:val="1"/>
      <w:numFmt w:val="bullet"/>
      <w:lvlText w:val=""/>
      <w:lvlJc w:val="left"/>
      <w:pPr>
        <w:ind w:left="2880" w:hanging="360"/>
      </w:pPr>
      <w:rPr>
        <w:rFonts w:ascii="Symbol" w:hAnsi="Symbol" w:hint="default"/>
      </w:rPr>
    </w:lvl>
    <w:lvl w:ilvl="4" w:tplc="F8BE593A">
      <w:start w:val="1"/>
      <w:numFmt w:val="bullet"/>
      <w:lvlText w:val="o"/>
      <w:lvlJc w:val="left"/>
      <w:pPr>
        <w:ind w:left="3600" w:hanging="360"/>
      </w:pPr>
      <w:rPr>
        <w:rFonts w:ascii="Courier New" w:hAnsi="Courier New" w:hint="default"/>
      </w:rPr>
    </w:lvl>
    <w:lvl w:ilvl="5" w:tplc="A1CC7DDE">
      <w:start w:val="1"/>
      <w:numFmt w:val="bullet"/>
      <w:lvlText w:val=""/>
      <w:lvlJc w:val="left"/>
      <w:pPr>
        <w:ind w:left="4320" w:hanging="360"/>
      </w:pPr>
      <w:rPr>
        <w:rFonts w:ascii="Wingdings" w:hAnsi="Wingdings" w:hint="default"/>
      </w:rPr>
    </w:lvl>
    <w:lvl w:ilvl="6" w:tplc="4AA4E59C">
      <w:start w:val="1"/>
      <w:numFmt w:val="bullet"/>
      <w:lvlText w:val=""/>
      <w:lvlJc w:val="left"/>
      <w:pPr>
        <w:ind w:left="5040" w:hanging="360"/>
      </w:pPr>
      <w:rPr>
        <w:rFonts w:ascii="Symbol" w:hAnsi="Symbol" w:hint="default"/>
      </w:rPr>
    </w:lvl>
    <w:lvl w:ilvl="7" w:tplc="371CAE4C">
      <w:start w:val="1"/>
      <w:numFmt w:val="bullet"/>
      <w:lvlText w:val="o"/>
      <w:lvlJc w:val="left"/>
      <w:pPr>
        <w:ind w:left="5760" w:hanging="360"/>
      </w:pPr>
      <w:rPr>
        <w:rFonts w:ascii="Courier New" w:hAnsi="Courier New" w:hint="default"/>
      </w:rPr>
    </w:lvl>
    <w:lvl w:ilvl="8" w:tplc="1DAA7C14">
      <w:start w:val="1"/>
      <w:numFmt w:val="bullet"/>
      <w:lvlText w:val=""/>
      <w:lvlJc w:val="left"/>
      <w:pPr>
        <w:ind w:left="6480" w:hanging="360"/>
      </w:pPr>
      <w:rPr>
        <w:rFonts w:ascii="Wingdings" w:hAnsi="Wingdings" w:hint="default"/>
      </w:rPr>
    </w:lvl>
  </w:abstractNum>
  <w:abstractNum w:abstractNumId="28"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C183B76"/>
    <w:multiLevelType w:val="hybridMultilevel"/>
    <w:tmpl w:val="3DE4C544"/>
    <w:lvl w:ilvl="0" w:tplc="46D86468">
      <w:start w:val="1"/>
      <w:numFmt w:val="bullet"/>
      <w:lvlText w:val=""/>
      <w:lvlJc w:val="left"/>
      <w:pPr>
        <w:ind w:left="720" w:hanging="360"/>
      </w:pPr>
      <w:rPr>
        <w:rFonts w:ascii="Symbol" w:hAnsi="Symbol" w:hint="default"/>
      </w:rPr>
    </w:lvl>
    <w:lvl w:ilvl="1" w:tplc="6DEC93DC">
      <w:start w:val="1"/>
      <w:numFmt w:val="bullet"/>
      <w:lvlText w:val="o"/>
      <w:lvlJc w:val="left"/>
      <w:pPr>
        <w:ind w:left="1440" w:hanging="360"/>
      </w:pPr>
      <w:rPr>
        <w:rFonts w:ascii="Courier New" w:hAnsi="Courier New" w:hint="default"/>
      </w:rPr>
    </w:lvl>
    <w:lvl w:ilvl="2" w:tplc="C15EA5DA">
      <w:start w:val="1"/>
      <w:numFmt w:val="bullet"/>
      <w:lvlText w:val=""/>
      <w:lvlJc w:val="left"/>
      <w:pPr>
        <w:ind w:left="2160" w:hanging="360"/>
      </w:pPr>
      <w:rPr>
        <w:rFonts w:ascii="Wingdings" w:hAnsi="Wingdings" w:hint="default"/>
      </w:rPr>
    </w:lvl>
    <w:lvl w:ilvl="3" w:tplc="4560FE9E">
      <w:start w:val="1"/>
      <w:numFmt w:val="bullet"/>
      <w:lvlText w:val=""/>
      <w:lvlJc w:val="left"/>
      <w:pPr>
        <w:ind w:left="2880" w:hanging="360"/>
      </w:pPr>
      <w:rPr>
        <w:rFonts w:ascii="Symbol" w:hAnsi="Symbol" w:hint="default"/>
      </w:rPr>
    </w:lvl>
    <w:lvl w:ilvl="4" w:tplc="A03C97AE">
      <w:start w:val="1"/>
      <w:numFmt w:val="bullet"/>
      <w:lvlText w:val="o"/>
      <w:lvlJc w:val="left"/>
      <w:pPr>
        <w:ind w:left="3600" w:hanging="360"/>
      </w:pPr>
      <w:rPr>
        <w:rFonts w:ascii="Courier New" w:hAnsi="Courier New" w:hint="default"/>
      </w:rPr>
    </w:lvl>
    <w:lvl w:ilvl="5" w:tplc="6A3C19FA">
      <w:start w:val="1"/>
      <w:numFmt w:val="bullet"/>
      <w:lvlText w:val=""/>
      <w:lvlJc w:val="left"/>
      <w:pPr>
        <w:ind w:left="4320" w:hanging="360"/>
      </w:pPr>
      <w:rPr>
        <w:rFonts w:ascii="Wingdings" w:hAnsi="Wingdings" w:hint="default"/>
      </w:rPr>
    </w:lvl>
    <w:lvl w:ilvl="6" w:tplc="DB1C8110">
      <w:start w:val="1"/>
      <w:numFmt w:val="bullet"/>
      <w:lvlText w:val=""/>
      <w:lvlJc w:val="left"/>
      <w:pPr>
        <w:ind w:left="5040" w:hanging="360"/>
      </w:pPr>
      <w:rPr>
        <w:rFonts w:ascii="Symbol" w:hAnsi="Symbol" w:hint="default"/>
      </w:rPr>
    </w:lvl>
    <w:lvl w:ilvl="7" w:tplc="DB0C068A">
      <w:start w:val="1"/>
      <w:numFmt w:val="bullet"/>
      <w:lvlText w:val="o"/>
      <w:lvlJc w:val="left"/>
      <w:pPr>
        <w:ind w:left="5760" w:hanging="360"/>
      </w:pPr>
      <w:rPr>
        <w:rFonts w:ascii="Courier New" w:hAnsi="Courier New" w:hint="default"/>
      </w:rPr>
    </w:lvl>
    <w:lvl w:ilvl="8" w:tplc="4BEAE034">
      <w:start w:val="1"/>
      <w:numFmt w:val="bullet"/>
      <w:lvlText w:val=""/>
      <w:lvlJc w:val="left"/>
      <w:pPr>
        <w:ind w:left="6480" w:hanging="360"/>
      </w:pPr>
      <w:rPr>
        <w:rFonts w:ascii="Wingdings" w:hAnsi="Wingdings" w:hint="default"/>
      </w:rPr>
    </w:lvl>
  </w:abstractNum>
  <w:num w:numId="1" w16cid:durableId="228079529">
    <w:abstractNumId w:val="12"/>
  </w:num>
  <w:num w:numId="2" w16cid:durableId="951090421">
    <w:abstractNumId w:val="17"/>
  </w:num>
  <w:num w:numId="3" w16cid:durableId="1820343800">
    <w:abstractNumId w:val="25"/>
  </w:num>
  <w:num w:numId="4" w16cid:durableId="355235214">
    <w:abstractNumId w:val="26"/>
  </w:num>
  <w:num w:numId="5" w16cid:durableId="1389761627">
    <w:abstractNumId w:val="4"/>
  </w:num>
  <w:num w:numId="6" w16cid:durableId="698240705">
    <w:abstractNumId w:val="7"/>
  </w:num>
  <w:num w:numId="7" w16cid:durableId="57215310">
    <w:abstractNumId w:val="10"/>
  </w:num>
  <w:num w:numId="8" w16cid:durableId="1015228473">
    <w:abstractNumId w:val="19"/>
  </w:num>
  <w:num w:numId="9" w16cid:durableId="637691554">
    <w:abstractNumId w:val="30"/>
  </w:num>
  <w:num w:numId="10" w16cid:durableId="1641963614">
    <w:abstractNumId w:val="28"/>
  </w:num>
  <w:num w:numId="11" w16cid:durableId="1187257801">
    <w:abstractNumId w:val="18"/>
  </w:num>
  <w:num w:numId="12" w16cid:durableId="1537086199">
    <w:abstractNumId w:val="15"/>
  </w:num>
  <w:num w:numId="13" w16cid:durableId="961812870">
    <w:abstractNumId w:val="3"/>
  </w:num>
  <w:num w:numId="14" w16cid:durableId="2143107526">
    <w:abstractNumId w:val="24"/>
  </w:num>
  <w:num w:numId="15" w16cid:durableId="1307784013">
    <w:abstractNumId w:val="2"/>
  </w:num>
  <w:num w:numId="16" w16cid:durableId="181434251">
    <w:abstractNumId w:val="21"/>
  </w:num>
  <w:num w:numId="17" w16cid:durableId="1948000874">
    <w:abstractNumId w:val="20"/>
  </w:num>
  <w:num w:numId="18" w16cid:durableId="4284865">
    <w:abstractNumId w:val="13"/>
  </w:num>
  <w:num w:numId="19" w16cid:durableId="1103261092">
    <w:abstractNumId w:val="6"/>
  </w:num>
  <w:num w:numId="20" w16cid:durableId="2062710379">
    <w:abstractNumId w:val="9"/>
  </w:num>
  <w:num w:numId="21" w16cid:durableId="275329085">
    <w:abstractNumId w:val="16"/>
  </w:num>
  <w:num w:numId="22" w16cid:durableId="1176263507">
    <w:abstractNumId w:val="14"/>
  </w:num>
  <w:num w:numId="23" w16cid:durableId="1368916693">
    <w:abstractNumId w:val="23"/>
  </w:num>
  <w:num w:numId="24" w16cid:durableId="1673945253">
    <w:abstractNumId w:val="29"/>
  </w:num>
  <w:num w:numId="25" w16cid:durableId="32268362">
    <w:abstractNumId w:val="11"/>
  </w:num>
  <w:num w:numId="26" w16cid:durableId="204409388">
    <w:abstractNumId w:val="22"/>
  </w:num>
  <w:num w:numId="27" w16cid:durableId="1420520714">
    <w:abstractNumId w:val="8"/>
  </w:num>
  <w:num w:numId="28" w16cid:durableId="908735222">
    <w:abstractNumId w:val="5"/>
  </w:num>
  <w:num w:numId="29" w16cid:durableId="1473063172">
    <w:abstractNumId w:val="31"/>
  </w:num>
  <w:num w:numId="30" w16cid:durableId="942691297">
    <w:abstractNumId w:val="27"/>
  </w:num>
  <w:num w:numId="31" w16cid:durableId="737367896">
    <w:abstractNumId w:val="0"/>
  </w:num>
  <w:num w:numId="32" w16cid:durableId="870923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17DA8"/>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1E9"/>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E77DB"/>
    <w:rsid w:val="001F357B"/>
    <w:rsid w:val="001F4BA7"/>
    <w:rsid w:val="001F5ABF"/>
    <w:rsid w:val="0021322E"/>
    <w:rsid w:val="0023193A"/>
    <w:rsid w:val="002332AB"/>
    <w:rsid w:val="002333B8"/>
    <w:rsid w:val="002353C1"/>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0474"/>
    <w:rsid w:val="002E3AD8"/>
    <w:rsid w:val="002E7444"/>
    <w:rsid w:val="002F00E4"/>
    <w:rsid w:val="002F1E6D"/>
    <w:rsid w:val="002F2A22"/>
    <w:rsid w:val="0030780E"/>
    <w:rsid w:val="00311282"/>
    <w:rsid w:val="00313414"/>
    <w:rsid w:val="00317BFE"/>
    <w:rsid w:val="003211AB"/>
    <w:rsid w:val="0032321F"/>
    <w:rsid w:val="003278AC"/>
    <w:rsid w:val="00331042"/>
    <w:rsid w:val="00333C51"/>
    <w:rsid w:val="00342677"/>
    <w:rsid w:val="00345834"/>
    <w:rsid w:val="00345FF7"/>
    <w:rsid w:val="003514DC"/>
    <w:rsid w:val="00351D1D"/>
    <w:rsid w:val="0036196A"/>
    <w:rsid w:val="0036252B"/>
    <w:rsid w:val="00363A10"/>
    <w:rsid w:val="00366EEC"/>
    <w:rsid w:val="0037568C"/>
    <w:rsid w:val="003779F1"/>
    <w:rsid w:val="003813BF"/>
    <w:rsid w:val="003855DE"/>
    <w:rsid w:val="003930A4"/>
    <w:rsid w:val="003A42EC"/>
    <w:rsid w:val="003B1A86"/>
    <w:rsid w:val="003B50CB"/>
    <w:rsid w:val="003B7016"/>
    <w:rsid w:val="003C08C6"/>
    <w:rsid w:val="003C0EFB"/>
    <w:rsid w:val="003C2497"/>
    <w:rsid w:val="003C3ECE"/>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E1225"/>
    <w:rsid w:val="004F1058"/>
    <w:rsid w:val="00506CD4"/>
    <w:rsid w:val="00514FE2"/>
    <w:rsid w:val="005204CC"/>
    <w:rsid w:val="005238B0"/>
    <w:rsid w:val="00530682"/>
    <w:rsid w:val="00531D83"/>
    <w:rsid w:val="005333B7"/>
    <w:rsid w:val="00541FA5"/>
    <w:rsid w:val="00544692"/>
    <w:rsid w:val="00555571"/>
    <w:rsid w:val="00556B13"/>
    <w:rsid w:val="00563E34"/>
    <w:rsid w:val="0056447C"/>
    <w:rsid w:val="00574979"/>
    <w:rsid w:val="005774AE"/>
    <w:rsid w:val="0058004A"/>
    <w:rsid w:val="00581D4F"/>
    <w:rsid w:val="005956C4"/>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0636"/>
    <w:rsid w:val="006E5167"/>
    <w:rsid w:val="006E70FE"/>
    <w:rsid w:val="006F31E6"/>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63E94"/>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8697A"/>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AE6FA2"/>
    <w:rsid w:val="00B01081"/>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D4D9C"/>
    <w:rsid w:val="00BE4D1C"/>
    <w:rsid w:val="00BE6D32"/>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53B"/>
    <w:rsid w:val="00E52AE4"/>
    <w:rsid w:val="00E53EB8"/>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6AAB"/>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5E40"/>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Props1.xml><?xml version="1.0" encoding="utf-8"?>
<ds:datastoreItem xmlns:ds="http://schemas.openxmlformats.org/officeDocument/2006/customXml" ds:itemID="{14CCB5A6-7F8F-47AA-AFBB-52D8211C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3.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4.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3671</Characters>
  <Application>Microsoft Office Word</Application>
  <DocSecurity>0</DocSecurity>
  <Lines>30</Lines>
  <Paragraphs>8</Paragraphs>
  <ScaleCrop>false</ScaleCrop>
  <Company>Kold College</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2024-03-05T14:40:00Z</dcterms:created>
  <dcterms:modified xsi:type="dcterms:W3CDTF">2024-03-05T14:40:00Z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